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312" w:afterLines="100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校园卡使用说明</w:t>
      </w:r>
    </w:p>
    <w:p>
      <w:pPr>
        <w:spacing w:before="156" w:beforeLines="50" w:after="156" w:afterLines="50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一、校园卡功能简介</w:t>
      </w:r>
    </w:p>
    <w:p>
      <w:pPr>
        <w:spacing w:after="156" w:afterLines="50"/>
        <w:ind w:firstLine="360" w:firstLineChars="150"/>
        <w:rPr>
          <w:sz w:val="24"/>
        </w:rPr>
      </w:pPr>
      <w:r>
        <w:rPr>
          <w:rFonts w:hint="eastAsia"/>
          <w:sz w:val="24"/>
        </w:rPr>
        <w:t>校园卡具有身份识别功能，是持卡人出入校园等的物理凭证之一，同</w:t>
      </w:r>
      <w:bookmarkStart w:id="0" w:name="_GoBack"/>
      <w:bookmarkEnd w:id="0"/>
      <w:r>
        <w:rPr>
          <w:rFonts w:hint="eastAsia"/>
          <w:sz w:val="24"/>
        </w:rPr>
        <w:t>时用于餐厅、开水、超市等小额消费，也可用于图书馆借还书等。</w:t>
      </w:r>
    </w:p>
    <w:p>
      <w:pPr>
        <w:spacing w:before="156" w:beforeLines="50" w:after="156" w:afterLines="50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二、校园卡充值</w:t>
      </w:r>
    </w:p>
    <w:p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（1）手机充值</w:t>
      </w:r>
    </w:p>
    <w:tbl>
      <w:tblPr>
        <w:tblStyle w:val="11"/>
        <w:tblW w:w="8755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21"/>
        <w:gridCol w:w="2860"/>
        <w:gridCol w:w="287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21" w:type="dxa"/>
          </w:tcPr>
          <w:p>
            <w:pPr>
              <w:rPr>
                <w:rFonts w:ascii="宋体" w:hAnsi="宋体" w:cs="宋体"/>
                <w:b/>
                <w:color w:val="000000"/>
                <w:szCs w:val="21"/>
              </w:rPr>
            </w:pPr>
            <w:r>
              <w:rPr>
                <w:rFonts w:hint="eastAsia" w:ascii="宋体" w:hAnsi="宋体" w:cs="宋体"/>
                <w:b/>
                <w:color w:val="000000"/>
                <w:szCs w:val="21"/>
              </w:rPr>
              <w:t>1.打开农行掌银，点击生活缴费</w:t>
            </w:r>
          </w:p>
          <w:p>
            <w:pPr>
              <w:jc w:val="left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/>
                <w:color w:val="000000"/>
                <w:szCs w:val="21"/>
              </w:rPr>
              <w:drawing>
                <wp:inline distT="0" distB="0" distL="0" distR="0">
                  <wp:extent cx="1659890" cy="2951480"/>
                  <wp:effectExtent l="19050" t="0" r="0" b="0"/>
                  <wp:docPr id="15" name="图片 14" descr="原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4" descr="原1.png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170" cy="29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>
            <w:pPr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2.点击更多</w:t>
            </w:r>
          </w:p>
          <w:p>
            <w:pPr>
              <w:pStyle w:val="17"/>
              <w:ind w:left="360" w:firstLine="0" w:firstLineChars="0"/>
              <w:rPr>
                <w:rFonts w:ascii="宋体" w:hAnsi="宋体" w:cs="宋体"/>
                <w:szCs w:val="21"/>
              </w:rPr>
            </w:pPr>
          </w:p>
          <w:p>
            <w:pPr>
              <w:spacing w:after="312" w:afterLines="100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1659890" cy="2951480"/>
                  <wp:effectExtent l="19050" t="0" r="0" b="0"/>
                  <wp:docPr id="17" name="图片 16" descr="原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 descr="原2.pn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170" cy="29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4" w:type="dxa"/>
          </w:tcPr>
          <w:p>
            <w:r>
              <w:rPr>
                <w:rFonts w:hint="eastAsia"/>
                <w:b/>
              </w:rPr>
              <w:t>3.点击教育培训栏内“校园卡”</w:t>
            </w:r>
          </w:p>
          <w:p>
            <w:pPr>
              <w:spacing w:after="312" w:afterLines="100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1659890" cy="2951480"/>
                  <wp:effectExtent l="19050" t="0" r="0" b="0"/>
                  <wp:docPr id="18" name="图片 17" descr="原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 descr="原3.pn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170" cy="29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21" w:type="dxa"/>
          </w:tcPr>
          <w:p>
            <w:pPr>
              <w:rPr>
                <w:b/>
              </w:rPr>
            </w:pPr>
          </w:p>
          <w:p>
            <w:pPr>
              <w:rPr>
                <w:b/>
              </w:rPr>
            </w:pPr>
            <w:r>
              <w:rPr>
                <w:rFonts w:hint="eastAsia"/>
                <w:b/>
              </w:rPr>
              <w:t>4.点选或查询“山东中医药大学”</w:t>
            </w:r>
          </w:p>
          <w:p>
            <w:pPr>
              <w:spacing w:after="312" w:afterLines="100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1419225" cy="2523490"/>
                  <wp:effectExtent l="19050" t="0" r="9525" b="0"/>
                  <wp:docPr id="21" name="图片 20" descr="原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0" descr="原4.pn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2523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>
            <w:pPr>
              <w:rPr>
                <w:b/>
              </w:rPr>
            </w:pPr>
          </w:p>
          <w:p>
            <w:pPr>
              <w:rPr>
                <w:b/>
              </w:rPr>
            </w:pPr>
            <w:r>
              <w:rPr>
                <w:rFonts w:hint="eastAsia"/>
                <w:b/>
              </w:rPr>
              <w:t>5.输入学工号</w:t>
            </w:r>
          </w:p>
          <w:p>
            <w:pPr>
              <w:pStyle w:val="17"/>
              <w:ind w:left="360" w:firstLine="0" w:firstLineChars="0"/>
              <w:rPr>
                <w:b/>
              </w:rPr>
            </w:pPr>
          </w:p>
          <w:p>
            <w:pPr>
              <w:spacing w:after="312" w:afterLines="100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1447800" cy="2574290"/>
                  <wp:effectExtent l="19050" t="0" r="0" b="0"/>
                  <wp:docPr id="20" name="图片 18" descr="原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8" descr="原5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257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4" w:type="dxa"/>
          </w:tcPr>
          <w:p>
            <w:pPr>
              <w:rPr>
                <w:b/>
              </w:rPr>
            </w:pPr>
          </w:p>
          <w:p>
            <w:pPr>
              <w:rPr>
                <w:b/>
              </w:rPr>
            </w:pPr>
            <w:r>
              <w:rPr>
                <w:rFonts w:hint="eastAsia"/>
                <w:b/>
              </w:rPr>
              <w:t>6.核对本人信息后输入缴费金额</w:t>
            </w:r>
          </w:p>
          <w:p>
            <w:pPr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1428750" cy="2540000"/>
                  <wp:effectExtent l="19050" t="0" r="0" b="0"/>
                  <wp:docPr id="14" name="图片 13" descr="原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 descr="原6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181" cy="2544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7" w:hRule="atLeast"/>
        </w:trPr>
        <w:tc>
          <w:tcPr>
            <w:tcW w:w="3021" w:type="dxa"/>
          </w:tcPr>
          <w:p>
            <w:pPr>
              <w:rPr>
                <w:b/>
              </w:rPr>
            </w:pPr>
            <w:r>
              <w:rPr>
                <w:rFonts w:hint="eastAsia"/>
                <w:b/>
              </w:rPr>
              <w:t>7.选择卡号，输入密码或指纹密码验证</w:t>
            </w:r>
          </w:p>
          <w:p>
            <w:pPr>
              <w:jc w:val="left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drawing>
                <wp:inline distT="0" distB="0" distL="0" distR="0">
                  <wp:extent cx="1659890" cy="2951480"/>
                  <wp:effectExtent l="19050" t="0" r="0" b="0"/>
                  <wp:docPr id="22" name="图片 21" descr="原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1" descr="原7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170" cy="29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>
            <w:pPr>
              <w:rPr>
                <w:b/>
              </w:rPr>
            </w:pPr>
            <w:r>
              <w:rPr>
                <w:rFonts w:hint="eastAsia"/>
                <w:b/>
              </w:rPr>
              <w:t>8.完成缴费</w:t>
            </w:r>
          </w:p>
          <w:p>
            <w:pPr>
              <w:rPr>
                <w:b/>
              </w:rPr>
            </w:pPr>
          </w:p>
          <w:p>
            <w:pPr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drawing>
                <wp:inline distT="0" distB="0" distL="0" distR="0">
                  <wp:extent cx="1659890" cy="2951480"/>
                  <wp:effectExtent l="19050" t="0" r="0" b="0"/>
                  <wp:docPr id="23" name="图片 22" descr="原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2" descr="原8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170" cy="29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4" w:type="dxa"/>
          </w:tcPr>
          <w:p>
            <w:pPr>
              <w:spacing w:after="312" w:afterLines="100"/>
              <w:jc w:val="left"/>
              <w:rPr>
                <w:sz w:val="32"/>
                <w:szCs w:val="32"/>
              </w:rPr>
            </w:pPr>
          </w:p>
        </w:tc>
      </w:tr>
    </w:tbl>
    <w:p>
      <w:pPr>
        <w:jc w:val="left"/>
        <w:rPr>
          <w:b/>
          <w:sz w:val="24"/>
          <w:szCs w:val="24"/>
        </w:rPr>
      </w:pPr>
    </w:p>
    <w:p>
      <w:pPr>
        <w:spacing w:after="156" w:afterLines="50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（2）圈存充值</w:t>
      </w:r>
    </w:p>
    <w:p>
      <w:pPr>
        <w:spacing w:line="400" w:lineRule="exact"/>
        <w:ind w:firstLine="360" w:firstLineChars="150"/>
        <w:rPr>
          <w:sz w:val="24"/>
        </w:rPr>
      </w:pPr>
      <w:r>
        <w:rPr>
          <w:rFonts w:hint="eastAsia"/>
          <w:sz w:val="24"/>
        </w:rPr>
        <w:t>校园卡已与随录取通知书发给您的农行卡绑定，农行卡内需提前存入资金，入校后可在各餐厅圈存机充值点，将资金从银行卡转账到校园卡。</w:t>
      </w:r>
    </w:p>
    <w:p>
      <w:pPr>
        <w:spacing w:before="156" w:beforeLines="50" w:after="156" w:afterLines="50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三、注意事项</w:t>
      </w:r>
    </w:p>
    <w:p>
      <w:pPr>
        <w:spacing w:line="400" w:lineRule="exact"/>
        <w:ind w:firstLine="480" w:firstLineChars="200"/>
        <w:rPr>
          <w:sz w:val="24"/>
        </w:rPr>
      </w:pPr>
      <w:r>
        <w:rPr>
          <w:rFonts w:hint="eastAsia"/>
          <w:sz w:val="24"/>
        </w:rPr>
        <w:t>校园卡手机充值功能开通时间：2019年</w:t>
      </w:r>
      <w:r>
        <w:rPr>
          <w:sz w:val="24"/>
        </w:rPr>
        <w:t>6</w:t>
      </w:r>
      <w:r>
        <w:rPr>
          <w:rFonts w:hint="eastAsia"/>
          <w:sz w:val="24"/>
        </w:rPr>
        <w:t>月2</w:t>
      </w:r>
      <w:r>
        <w:rPr>
          <w:sz w:val="24"/>
        </w:rPr>
        <w:t>5</w:t>
      </w:r>
      <w:r>
        <w:rPr>
          <w:rFonts w:hint="eastAsia"/>
          <w:sz w:val="24"/>
        </w:rPr>
        <w:t>日，校园卡通过手机充值成功后，所充金额处于待领款状态（手机查询到的校园卡余额是待领款状态的金额），入校后将校园卡在学校餐厅任一台消费机上接触3秒，便可将待领款转入校园卡，正常消费。</w:t>
      </w:r>
    </w:p>
    <w:p>
      <w:pPr>
        <w:spacing w:line="360" w:lineRule="auto"/>
        <w:ind w:firstLine="480" w:firstLineChars="200"/>
        <w:jc w:val="left"/>
        <w:rPr>
          <w:rFonts w:ascii="Verdana" w:hAnsi="Verdana" w:cs="Helvetica"/>
          <w:color w:val="000000"/>
          <w:sz w:val="24"/>
          <w:szCs w:val="24"/>
        </w:rPr>
      </w:pPr>
    </w:p>
    <w:p>
      <w:pPr>
        <w:spacing w:line="360" w:lineRule="auto"/>
        <w:ind w:firstLine="480" w:firstLineChars="200"/>
        <w:jc w:val="left"/>
        <w:rPr>
          <w:rFonts w:ascii="Verdana" w:hAnsi="Verdana" w:cs="Helvetica"/>
          <w:color w:val="000000"/>
          <w:sz w:val="24"/>
          <w:szCs w:val="24"/>
        </w:rPr>
      </w:pPr>
    </w:p>
    <w:p>
      <w:pPr>
        <w:spacing w:line="360" w:lineRule="auto"/>
        <w:ind w:firstLine="480" w:firstLineChars="200"/>
        <w:jc w:val="left"/>
        <w:rPr>
          <w:rFonts w:ascii="Verdana" w:hAnsi="Verdana" w:cs="Helvetica"/>
          <w:sz w:val="24"/>
          <w:szCs w:val="24"/>
        </w:rPr>
      </w:pPr>
      <w:r>
        <w:rPr>
          <w:rFonts w:hint="eastAsia" w:ascii="Verdana" w:hAnsi="Verdana" w:cs="Helvetica"/>
          <w:color w:val="000000"/>
          <w:sz w:val="24"/>
          <w:szCs w:val="24"/>
        </w:rPr>
        <w:t xml:space="preserve">                                         </w:t>
      </w:r>
      <w:r>
        <w:rPr>
          <w:rFonts w:hint="eastAsia" w:ascii="Verdana" w:hAnsi="Verdana" w:cs="Helvetica"/>
          <w:sz w:val="24"/>
          <w:szCs w:val="24"/>
        </w:rPr>
        <w:t>宣传部网络中心  财务处</w:t>
      </w:r>
    </w:p>
    <w:p>
      <w:pPr>
        <w:spacing w:line="360" w:lineRule="auto"/>
        <w:ind w:firstLine="5640" w:firstLineChars="2350"/>
        <w:jc w:val="left"/>
        <w:rPr>
          <w:rFonts w:ascii="Verdana" w:hAnsi="Verdana" w:cs="Helvetica"/>
          <w:color w:val="000000"/>
          <w:sz w:val="24"/>
          <w:szCs w:val="24"/>
        </w:rPr>
      </w:pPr>
      <w:r>
        <w:rPr>
          <w:rFonts w:hint="eastAsia" w:ascii="Verdana" w:hAnsi="Verdana" w:cs="Helvetica"/>
          <w:color w:val="000000"/>
          <w:sz w:val="24"/>
          <w:szCs w:val="24"/>
        </w:rPr>
        <w:t>2019年6月13日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Helvetica">
    <w:altName w:val="Arial"/>
    <w:panose1 w:val="020B0504020202020204"/>
    <w:charset w:val="00"/>
    <w:family w:val="swiss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34587"/>
    <w:rsid w:val="0000551E"/>
    <w:rsid w:val="00033B0D"/>
    <w:rsid w:val="000341F2"/>
    <w:rsid w:val="0006785D"/>
    <w:rsid w:val="00067B7B"/>
    <w:rsid w:val="00072FE7"/>
    <w:rsid w:val="000E1EF0"/>
    <w:rsid w:val="00121EBF"/>
    <w:rsid w:val="00136097"/>
    <w:rsid w:val="001B714E"/>
    <w:rsid w:val="001E1547"/>
    <w:rsid w:val="00210306"/>
    <w:rsid w:val="00215385"/>
    <w:rsid w:val="00233A58"/>
    <w:rsid w:val="00234587"/>
    <w:rsid w:val="0024249E"/>
    <w:rsid w:val="0024436D"/>
    <w:rsid w:val="0024501F"/>
    <w:rsid w:val="0028241E"/>
    <w:rsid w:val="002A39C4"/>
    <w:rsid w:val="002A3C5E"/>
    <w:rsid w:val="002B299E"/>
    <w:rsid w:val="002C290E"/>
    <w:rsid w:val="002D1CE0"/>
    <w:rsid w:val="002E1930"/>
    <w:rsid w:val="002F6B06"/>
    <w:rsid w:val="00303B0C"/>
    <w:rsid w:val="003132E1"/>
    <w:rsid w:val="003146F6"/>
    <w:rsid w:val="003357EB"/>
    <w:rsid w:val="0039095D"/>
    <w:rsid w:val="003C6D25"/>
    <w:rsid w:val="003D5908"/>
    <w:rsid w:val="003F4050"/>
    <w:rsid w:val="003F4366"/>
    <w:rsid w:val="00450D2E"/>
    <w:rsid w:val="004729DA"/>
    <w:rsid w:val="004D7115"/>
    <w:rsid w:val="0051535F"/>
    <w:rsid w:val="00531132"/>
    <w:rsid w:val="0055589C"/>
    <w:rsid w:val="00591ACA"/>
    <w:rsid w:val="005F0AFC"/>
    <w:rsid w:val="006172E6"/>
    <w:rsid w:val="006278AF"/>
    <w:rsid w:val="00642C77"/>
    <w:rsid w:val="00646E49"/>
    <w:rsid w:val="00677EA5"/>
    <w:rsid w:val="00682D5C"/>
    <w:rsid w:val="006A2008"/>
    <w:rsid w:val="006B2E61"/>
    <w:rsid w:val="007153A2"/>
    <w:rsid w:val="007168EC"/>
    <w:rsid w:val="00751E63"/>
    <w:rsid w:val="0077685C"/>
    <w:rsid w:val="007920B5"/>
    <w:rsid w:val="007A15CA"/>
    <w:rsid w:val="007A4E63"/>
    <w:rsid w:val="007A6A54"/>
    <w:rsid w:val="007B4BB3"/>
    <w:rsid w:val="007B4DD9"/>
    <w:rsid w:val="007C3E36"/>
    <w:rsid w:val="007E5064"/>
    <w:rsid w:val="007F3899"/>
    <w:rsid w:val="008071B1"/>
    <w:rsid w:val="008727A5"/>
    <w:rsid w:val="008D0135"/>
    <w:rsid w:val="008D396E"/>
    <w:rsid w:val="008D5F28"/>
    <w:rsid w:val="009238CC"/>
    <w:rsid w:val="0093390C"/>
    <w:rsid w:val="009703EF"/>
    <w:rsid w:val="009817BE"/>
    <w:rsid w:val="009A179D"/>
    <w:rsid w:val="009A5CD9"/>
    <w:rsid w:val="009A726A"/>
    <w:rsid w:val="009F1EF5"/>
    <w:rsid w:val="009F775C"/>
    <w:rsid w:val="00A22526"/>
    <w:rsid w:val="00A2465C"/>
    <w:rsid w:val="00A35B0E"/>
    <w:rsid w:val="00A46E3D"/>
    <w:rsid w:val="00A478D1"/>
    <w:rsid w:val="00A54837"/>
    <w:rsid w:val="00A90935"/>
    <w:rsid w:val="00A94983"/>
    <w:rsid w:val="00A95572"/>
    <w:rsid w:val="00AC3DA0"/>
    <w:rsid w:val="00AC56B5"/>
    <w:rsid w:val="00AC68F0"/>
    <w:rsid w:val="00B05EBD"/>
    <w:rsid w:val="00B22D8B"/>
    <w:rsid w:val="00B37396"/>
    <w:rsid w:val="00B402BA"/>
    <w:rsid w:val="00B45554"/>
    <w:rsid w:val="00B651B8"/>
    <w:rsid w:val="00BA1CAA"/>
    <w:rsid w:val="00BC1E1B"/>
    <w:rsid w:val="00C1446A"/>
    <w:rsid w:val="00C260E2"/>
    <w:rsid w:val="00C56081"/>
    <w:rsid w:val="00C73117"/>
    <w:rsid w:val="00C929D2"/>
    <w:rsid w:val="00CA2E52"/>
    <w:rsid w:val="00CC06C5"/>
    <w:rsid w:val="00CF072F"/>
    <w:rsid w:val="00D00A35"/>
    <w:rsid w:val="00D12710"/>
    <w:rsid w:val="00D223E5"/>
    <w:rsid w:val="00D42421"/>
    <w:rsid w:val="00D63FCC"/>
    <w:rsid w:val="00DA5E9E"/>
    <w:rsid w:val="00E35C1A"/>
    <w:rsid w:val="00E60D77"/>
    <w:rsid w:val="00E8044A"/>
    <w:rsid w:val="00E81318"/>
    <w:rsid w:val="00E85748"/>
    <w:rsid w:val="00ED7BEA"/>
    <w:rsid w:val="00EE5534"/>
    <w:rsid w:val="00EF15AA"/>
    <w:rsid w:val="00EF1A84"/>
    <w:rsid w:val="00F467C1"/>
    <w:rsid w:val="00F77C19"/>
    <w:rsid w:val="00F83791"/>
    <w:rsid w:val="00F93D80"/>
    <w:rsid w:val="00F96932"/>
    <w:rsid w:val="00FD5097"/>
    <w:rsid w:val="00FE1EB5"/>
    <w:rsid w:val="00FE3B81"/>
    <w:rsid w:val="27D0255C"/>
    <w:rsid w:val="60BA5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qFormat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3"/>
    <w:basedOn w:val="1"/>
    <w:next w:val="1"/>
    <w:link w:val="15"/>
    <w:qFormat/>
    <w:uiPriority w:val="9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6"/>
    <w:qFormat/>
    <w:uiPriority w:val="9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ate"/>
    <w:basedOn w:val="1"/>
    <w:next w:val="1"/>
    <w:link w:val="20"/>
    <w:semiHidden/>
    <w:unhideWhenUsed/>
    <w:qFormat/>
    <w:uiPriority w:val="99"/>
    <w:pPr>
      <w:ind w:left="100" w:leftChars="2500"/>
    </w:pPr>
  </w:style>
  <w:style w:type="paragraph" w:styleId="7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9"/>
    <w:semiHidden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8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1">
    <w:name w:val="Table Grid"/>
    <w:basedOn w:val="10"/>
    <w:qFormat/>
    <w:locked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标题 1 Char"/>
    <w:link w:val="2"/>
    <w:locked/>
    <w:uiPriority w:val="99"/>
    <w:rPr>
      <w:rFonts w:cs="Times New Roman"/>
      <w:b/>
      <w:bCs/>
      <w:kern w:val="44"/>
      <w:sz w:val="44"/>
      <w:szCs w:val="44"/>
    </w:rPr>
  </w:style>
  <w:style w:type="character" w:customStyle="1" w:styleId="14">
    <w:name w:val="标题 2 Char"/>
    <w:link w:val="3"/>
    <w:locked/>
    <w:uiPriority w:val="99"/>
    <w:rPr>
      <w:rFonts w:ascii="Cambria" w:hAnsi="Cambria" w:eastAsia="宋体" w:cs="Times New Roman"/>
      <w:b/>
      <w:bCs/>
      <w:sz w:val="32"/>
      <w:szCs w:val="32"/>
    </w:rPr>
  </w:style>
  <w:style w:type="character" w:customStyle="1" w:styleId="15">
    <w:name w:val="标题 3 Char"/>
    <w:link w:val="4"/>
    <w:qFormat/>
    <w:locked/>
    <w:uiPriority w:val="99"/>
    <w:rPr>
      <w:rFonts w:cs="Times New Roman"/>
      <w:b/>
      <w:bCs/>
      <w:sz w:val="32"/>
      <w:szCs w:val="32"/>
    </w:rPr>
  </w:style>
  <w:style w:type="character" w:customStyle="1" w:styleId="16">
    <w:name w:val="标题 4 Char"/>
    <w:link w:val="5"/>
    <w:qFormat/>
    <w:locked/>
    <w:uiPriority w:val="99"/>
    <w:rPr>
      <w:rFonts w:ascii="Cambria" w:hAnsi="Cambria" w:eastAsia="宋体" w:cs="Times New Roman"/>
      <w:b/>
      <w:bCs/>
      <w:sz w:val="28"/>
      <w:szCs w:val="28"/>
    </w:rPr>
  </w:style>
  <w:style w:type="paragraph" w:styleId="17">
    <w:name w:val="List Paragraph"/>
    <w:basedOn w:val="1"/>
    <w:qFormat/>
    <w:uiPriority w:val="99"/>
    <w:pPr>
      <w:ind w:firstLine="420" w:firstLineChars="200"/>
    </w:pPr>
  </w:style>
  <w:style w:type="character" w:customStyle="1" w:styleId="18">
    <w:name w:val="页眉 Char"/>
    <w:link w:val="9"/>
    <w:semiHidden/>
    <w:locked/>
    <w:uiPriority w:val="99"/>
    <w:rPr>
      <w:rFonts w:cs="Times New Roman"/>
      <w:sz w:val="18"/>
      <w:szCs w:val="18"/>
    </w:rPr>
  </w:style>
  <w:style w:type="character" w:customStyle="1" w:styleId="19">
    <w:name w:val="页脚 Char"/>
    <w:link w:val="8"/>
    <w:semiHidden/>
    <w:qFormat/>
    <w:locked/>
    <w:uiPriority w:val="99"/>
    <w:rPr>
      <w:rFonts w:cs="Times New Roman"/>
      <w:sz w:val="18"/>
      <w:szCs w:val="18"/>
    </w:rPr>
  </w:style>
  <w:style w:type="character" w:customStyle="1" w:styleId="20">
    <w:name w:val="日期 Char"/>
    <w:basedOn w:val="12"/>
    <w:link w:val="6"/>
    <w:semiHidden/>
    <w:uiPriority w:val="99"/>
  </w:style>
  <w:style w:type="character" w:customStyle="1" w:styleId="21">
    <w:name w:val="批注框文本 Char"/>
    <w:basedOn w:val="12"/>
    <w:link w:val="7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93CC803-43E7-4460-B307-29FCE731C67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379</Words>
  <Characters>107</Characters>
  <Lines>1</Lines>
  <Paragraphs>1</Paragraphs>
  <TotalTime>339</TotalTime>
  <ScaleCrop>false</ScaleCrop>
  <LinksUpToDate>false</LinksUpToDate>
  <CharactersWithSpaces>485</CharactersWithSpaces>
  <Application>WPS Office_11.3.0.8586_F1E327BC-269C-435d-A152-05C5408002CA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2019-03-28T06:56:00Z</dcterms:created>
  <dc:creator>lenovo</dc:creator>
  <cp:lastModifiedBy>四十岁，从头再来</cp:lastModifiedBy>
  <cp:lastPrinted>2019-06-14T04:48:12Z</cp:lastPrinted>
  <dcterms:modified xsi:type="dcterms:W3CDTF">2019-06-14T04:50:45Z</dcterms:modified>
  <cp:revision>70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2052-11.3.0.8586</vt:lpwstr>
  </property>
</Properties>
</file>